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325DC0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FB49C7">
        <w:rPr>
          <w:color w:val="666666"/>
          <w:sz w:val="28"/>
          <w:szCs w:val="28"/>
        </w:rPr>
        <w:t>A</w:t>
      </w:r>
      <w:r w:rsidR="00577FC5">
        <w:rPr>
          <w:color w:val="666666"/>
          <w:sz w:val="28"/>
          <w:szCs w:val="28"/>
        </w:rPr>
        <w:t>l-103  Tapa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577FC5">
        <w:rPr>
          <w:color w:val="666666"/>
          <w:sz w:val="28"/>
          <w:szCs w:val="28"/>
        </w:rPr>
        <w:t>Tapa ovalada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577FC5">
        <w:rPr>
          <w:b/>
          <w:color w:val="0B508E"/>
          <w:sz w:val="28"/>
          <w:szCs w:val="28"/>
        </w:rPr>
        <w:t>T- 00659</w:t>
      </w:r>
    </w:p>
    <w:p w:rsidR="00554DC1" w:rsidRDefault="00852BD5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577FC5">
      <w:pPr>
        <w:jc w:val="both"/>
        <w:rPr>
          <w:b/>
          <w:color w:val="0B508E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371600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77FC5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BOPS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77FC5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77FC5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5.6</w:t>
            </w:r>
          </w:p>
        </w:tc>
      </w:tr>
      <w:tr w:rsidR="00554DC1">
        <w:trPr>
          <w:trHeight w:val="2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  <w:sectPr w:rsidR="00554DC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transparente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siliconado</w:t>
      </w:r>
      <w:r w:rsidR="00577FC5">
        <w:rPr>
          <w:color w:val="666666"/>
          <w:sz w:val="24"/>
          <w:szCs w:val="24"/>
        </w:rPr>
        <w:t xml:space="preserve"> no es apto para sellar con pelí</w:t>
      </w:r>
      <w:r>
        <w:rPr>
          <w:color w:val="666666"/>
          <w:sz w:val="24"/>
          <w:szCs w:val="24"/>
        </w:rPr>
        <w:t>cula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B83D28" w:rsidRDefault="00B83D28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0679F9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Estuche utilizado en productos alimenticios como panadería, repostería. Se puede utilizar para refrigerar. No apto para empacar productos demasiado calient</w:t>
      </w:r>
      <w:r w:rsidR="00577FC5">
        <w:rPr>
          <w:color w:val="666666"/>
          <w:sz w:val="24"/>
          <w:szCs w:val="24"/>
        </w:rPr>
        <w:t>es (temperatura superior a  70</w:t>
      </w:r>
      <w:r w:rsidR="004B6A3B">
        <w:rPr>
          <w:color w:val="666666"/>
          <w:sz w:val="24"/>
          <w:szCs w:val="24"/>
        </w:rPr>
        <w:t xml:space="preserve"> </w:t>
      </w:r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 xml:space="preserve">C </w:t>
      </w:r>
      <w:r>
        <w:rPr>
          <w:color w:val="666666"/>
          <w:sz w:val="24"/>
          <w:szCs w:val="24"/>
        </w:rPr>
        <w:t>)</w:t>
      </w:r>
      <w:proofErr w:type="gramEnd"/>
      <w:r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</w:t>
      </w:r>
      <w:bookmarkStart w:id="0" w:name="_GoBack"/>
      <w:bookmarkEnd w:id="0"/>
      <w:r>
        <w:rPr>
          <w:b/>
          <w:color w:val="0B508E"/>
          <w:sz w:val="24"/>
          <w:szCs w:val="24"/>
        </w:rPr>
        <w:t>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577FC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11.4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577FC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13.1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577FC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0.7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577FC5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250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577FC5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5.6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577FC5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lastRenderedPageBreak/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577FC5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577FC5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3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015CD2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577FC5">
        <w:rPr>
          <w:color w:val="666666"/>
          <w:sz w:val="24"/>
          <w:szCs w:val="24"/>
        </w:rPr>
        <w:t>ucto a una temperatura mayor a 7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Cada producto, cliente, proceso de empaque es diferente, así que recomendamos que el cliente realice pruebas bajo sus condiciones particulares y valide el uso del material </w:t>
      </w:r>
      <w:r>
        <w:rPr>
          <w:color w:val="666666"/>
          <w:sz w:val="24"/>
          <w:szCs w:val="24"/>
        </w:rPr>
        <w:lastRenderedPageBreak/>
        <w:t>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733FA2" w:rsidRDefault="0073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554DC1">
      <w:pPr>
        <w:jc w:val="both"/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577FC5">
        <w:rPr>
          <w:b/>
          <w:color w:val="0B508E"/>
          <w:sz w:val="24"/>
          <w:szCs w:val="24"/>
        </w:rPr>
        <w:t xml:space="preserve"> 11/08/2018</w:t>
      </w: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9E" w:rsidRDefault="00AD299E">
      <w:pPr>
        <w:spacing w:line="240" w:lineRule="auto"/>
      </w:pPr>
      <w:r>
        <w:separator/>
      </w:r>
    </w:p>
  </w:endnote>
  <w:endnote w:type="continuationSeparator" w:id="0">
    <w:p w:rsidR="00AD299E" w:rsidRDefault="00AD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E61556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-488950</wp:posOffset>
          </wp:positionV>
          <wp:extent cx="7800975" cy="361950"/>
          <wp:effectExtent l="19050" t="0" r="9525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E61556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-626110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9E" w:rsidRDefault="00AD299E">
      <w:pPr>
        <w:spacing w:line="240" w:lineRule="auto"/>
      </w:pPr>
      <w:r>
        <w:separator/>
      </w:r>
    </w:p>
  </w:footnote>
  <w:footnote w:type="continuationSeparator" w:id="0">
    <w:p w:rsidR="00AD299E" w:rsidRDefault="00AD29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6705B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C1"/>
    <w:rsid w:val="00013C1B"/>
    <w:rsid w:val="0001659B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17EE"/>
    <w:rsid w:val="00134102"/>
    <w:rsid w:val="0017753C"/>
    <w:rsid w:val="001A2476"/>
    <w:rsid w:val="001B6CF1"/>
    <w:rsid w:val="001F3DC3"/>
    <w:rsid w:val="002103FD"/>
    <w:rsid w:val="00246AB7"/>
    <w:rsid w:val="00262AF6"/>
    <w:rsid w:val="00270CB7"/>
    <w:rsid w:val="002821B0"/>
    <w:rsid w:val="002A2582"/>
    <w:rsid w:val="002B7232"/>
    <w:rsid w:val="00325DC0"/>
    <w:rsid w:val="00361B03"/>
    <w:rsid w:val="00371ED0"/>
    <w:rsid w:val="0038596F"/>
    <w:rsid w:val="003B6233"/>
    <w:rsid w:val="003C1452"/>
    <w:rsid w:val="0046620D"/>
    <w:rsid w:val="004B6A3B"/>
    <w:rsid w:val="004D7D59"/>
    <w:rsid w:val="004F2C94"/>
    <w:rsid w:val="00554823"/>
    <w:rsid w:val="00554DC1"/>
    <w:rsid w:val="00577FC5"/>
    <w:rsid w:val="005E1CC9"/>
    <w:rsid w:val="00620B6D"/>
    <w:rsid w:val="006505FD"/>
    <w:rsid w:val="006705B6"/>
    <w:rsid w:val="00733FA2"/>
    <w:rsid w:val="00773FF1"/>
    <w:rsid w:val="007C5135"/>
    <w:rsid w:val="007E4F6A"/>
    <w:rsid w:val="008000F3"/>
    <w:rsid w:val="00825985"/>
    <w:rsid w:val="008501D2"/>
    <w:rsid w:val="00852BD5"/>
    <w:rsid w:val="008B52BF"/>
    <w:rsid w:val="008F02EF"/>
    <w:rsid w:val="008F703A"/>
    <w:rsid w:val="00911B93"/>
    <w:rsid w:val="00955C8B"/>
    <w:rsid w:val="009A3E7E"/>
    <w:rsid w:val="009B7E80"/>
    <w:rsid w:val="009C1F98"/>
    <w:rsid w:val="009C2EDA"/>
    <w:rsid w:val="009C411E"/>
    <w:rsid w:val="009E505B"/>
    <w:rsid w:val="009F57C7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22F7"/>
    <w:rsid w:val="00BE53F8"/>
    <w:rsid w:val="00C22BBF"/>
    <w:rsid w:val="00C54826"/>
    <w:rsid w:val="00C7014B"/>
    <w:rsid w:val="00C723E6"/>
    <w:rsid w:val="00D33712"/>
    <w:rsid w:val="00DB2482"/>
    <w:rsid w:val="00DB7C07"/>
    <w:rsid w:val="00DD655C"/>
    <w:rsid w:val="00E42CFF"/>
    <w:rsid w:val="00E56366"/>
    <w:rsid w:val="00E61556"/>
    <w:rsid w:val="00E90F6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49C7"/>
    <w:rsid w:val="00FB6099"/>
    <w:rsid w:val="00FF122F"/>
    <w:rsid w:val="00FF3BD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Álvaro Escobar</cp:lastModifiedBy>
  <cp:revision>2</cp:revision>
  <cp:lastPrinted>2018-05-03T18:44:00Z</cp:lastPrinted>
  <dcterms:created xsi:type="dcterms:W3CDTF">2019-02-12T14:38:00Z</dcterms:created>
  <dcterms:modified xsi:type="dcterms:W3CDTF">2019-02-12T14:38:00Z</dcterms:modified>
</cp:coreProperties>
</file>