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D4440A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D4440A">
        <w:rPr>
          <w:color w:val="666666"/>
          <w:sz w:val="28"/>
          <w:szCs w:val="28"/>
        </w:rPr>
        <w:t>AL-45 Tapa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D4440A">
        <w:rPr>
          <w:color w:val="666666"/>
          <w:sz w:val="28"/>
          <w:szCs w:val="28"/>
        </w:rPr>
        <w:t>Tapa transparente Postres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D4440A">
        <w:rPr>
          <w:b/>
          <w:color w:val="0B508E"/>
          <w:sz w:val="28"/>
          <w:szCs w:val="28"/>
        </w:rPr>
        <w:t>T-00092</w:t>
      </w:r>
    </w:p>
    <w:p w:rsidR="00554DC1" w:rsidRDefault="0073159B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D4440A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95262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D4440A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D4440A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D4440A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2.1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El material siliconado no es apto para sellar con </w:t>
      </w:r>
      <w:proofErr w:type="spellStart"/>
      <w:r>
        <w:rPr>
          <w:color w:val="666666"/>
          <w:sz w:val="24"/>
          <w:szCs w:val="24"/>
        </w:rPr>
        <w:t>pelicula</w:t>
      </w:r>
      <w:proofErr w:type="spellEnd"/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0679F9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Estuche utilizado en productos alimenticios como panadería, repostería. Se puede utilizar para refrigerar. No apto para empacar productos demasiado calient</w:t>
      </w:r>
      <w:r w:rsidR="00D4440A">
        <w:rPr>
          <w:color w:val="666666"/>
          <w:sz w:val="24"/>
          <w:szCs w:val="24"/>
        </w:rPr>
        <w:t>es (temperatura superior a  60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>
        <w:rPr>
          <w:color w:val="666666"/>
          <w:sz w:val="24"/>
          <w:szCs w:val="24"/>
        </w:rPr>
        <w:t>)</w:t>
      </w:r>
      <w:proofErr w:type="gramEnd"/>
      <w:r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</w:t>
      </w:r>
      <w:bookmarkStart w:id="0" w:name="_GoBack"/>
      <w:bookmarkEnd w:id="0"/>
      <w:r>
        <w:rPr>
          <w:b/>
          <w:color w:val="0B508E"/>
          <w:sz w:val="24"/>
          <w:szCs w:val="24"/>
        </w:rPr>
        <w:t>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D4440A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Diámetro</w:t>
            </w:r>
            <w:r w:rsidR="00B83D28">
              <w:rPr>
                <w:color w:val="666666"/>
                <w:sz w:val="24"/>
                <w:szCs w:val="24"/>
              </w:rPr>
              <w:t xml:space="preserve">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D4440A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9.4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D4440A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0.6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D4440A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200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D4440A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2.1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D4440A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D4440A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D4440A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D4440A">
        <w:rPr>
          <w:color w:val="666666"/>
          <w:sz w:val="24"/>
          <w:szCs w:val="24"/>
        </w:rPr>
        <w:t>ucto a una temperatura mayor a 6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D4440A">
        <w:rPr>
          <w:b/>
          <w:color w:val="0B508E"/>
          <w:sz w:val="24"/>
          <w:szCs w:val="24"/>
        </w:rPr>
        <w:t xml:space="preserve"> 13/08/2018</w:t>
      </w: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53456F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-498475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53456F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-902335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1"/>
    <w:rsid w:val="00013C1B"/>
    <w:rsid w:val="0001659B"/>
    <w:rsid w:val="00045F1D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7753C"/>
    <w:rsid w:val="001A2476"/>
    <w:rsid w:val="001B6CF1"/>
    <w:rsid w:val="001F3DC3"/>
    <w:rsid w:val="002103FD"/>
    <w:rsid w:val="00246AB7"/>
    <w:rsid w:val="00262AF6"/>
    <w:rsid w:val="00270CB7"/>
    <w:rsid w:val="002821B0"/>
    <w:rsid w:val="002A2582"/>
    <w:rsid w:val="002B7232"/>
    <w:rsid w:val="00361B03"/>
    <w:rsid w:val="00371ED0"/>
    <w:rsid w:val="0038596F"/>
    <w:rsid w:val="003B6233"/>
    <w:rsid w:val="003C1452"/>
    <w:rsid w:val="0046620D"/>
    <w:rsid w:val="004B6A3B"/>
    <w:rsid w:val="004D7D59"/>
    <w:rsid w:val="004F2C94"/>
    <w:rsid w:val="0053456F"/>
    <w:rsid w:val="00554823"/>
    <w:rsid w:val="00554DC1"/>
    <w:rsid w:val="005E1CC9"/>
    <w:rsid w:val="00620B6D"/>
    <w:rsid w:val="006505FD"/>
    <w:rsid w:val="006705B6"/>
    <w:rsid w:val="0073159B"/>
    <w:rsid w:val="00733FA2"/>
    <w:rsid w:val="00773FF1"/>
    <w:rsid w:val="007C5135"/>
    <w:rsid w:val="007E4F6A"/>
    <w:rsid w:val="008000F3"/>
    <w:rsid w:val="00825985"/>
    <w:rsid w:val="008501D2"/>
    <w:rsid w:val="008B52BF"/>
    <w:rsid w:val="008F02EF"/>
    <w:rsid w:val="008F703A"/>
    <w:rsid w:val="00955C8B"/>
    <w:rsid w:val="009A3E7E"/>
    <w:rsid w:val="009B7E80"/>
    <w:rsid w:val="009C1F98"/>
    <w:rsid w:val="009C2EDA"/>
    <w:rsid w:val="009C411E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D33712"/>
    <w:rsid w:val="00D4440A"/>
    <w:rsid w:val="00DB2482"/>
    <w:rsid w:val="00DB7C07"/>
    <w:rsid w:val="00DD655C"/>
    <w:rsid w:val="00E42CFF"/>
    <w:rsid w:val="00E56366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3</cp:revision>
  <cp:lastPrinted>2018-05-03T18:44:00Z</cp:lastPrinted>
  <dcterms:created xsi:type="dcterms:W3CDTF">2018-08-13T17:18:00Z</dcterms:created>
  <dcterms:modified xsi:type="dcterms:W3CDTF">2019-01-11T14:26:00Z</dcterms:modified>
</cp:coreProperties>
</file>